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C1D" w:rsidRPr="00AB6C7E" w:rsidRDefault="000508D4">
      <w:pPr>
        <w:rPr>
          <w:b/>
        </w:rPr>
      </w:pPr>
      <w:r w:rsidRPr="00AB6C7E">
        <w:rPr>
          <w:b/>
        </w:rPr>
        <w:t xml:space="preserve">Plan </w:t>
      </w:r>
      <w:r w:rsidR="00AB3444">
        <w:rPr>
          <w:b/>
        </w:rPr>
        <w:t>d’action de mise en accessibilité n</w:t>
      </w:r>
      <w:r w:rsidRPr="00AB6C7E">
        <w:rPr>
          <w:b/>
        </w:rPr>
        <w:t>umérique</w:t>
      </w:r>
      <w:r w:rsidR="007102FB">
        <w:rPr>
          <w:b/>
        </w:rPr>
        <w:t xml:space="preserve"> 2025</w:t>
      </w:r>
      <w:r w:rsidR="00756A8D">
        <w:rPr>
          <w:b/>
        </w:rPr>
        <w:t>/20</w:t>
      </w:r>
      <w:r w:rsidR="007102FB">
        <w:rPr>
          <w:b/>
        </w:rPr>
        <w:t>27</w:t>
      </w:r>
    </w:p>
    <w:p w:rsidR="000508D4" w:rsidRDefault="000508D4"/>
    <w:p w:rsidR="000508D4" w:rsidRDefault="000508D4">
      <w:r>
        <w:t>L’article 47 de la loi n° 2005-102 du 11 février 2005 pour l’égalité des droits et des chances, la participation et la citoyenneté des personnes handicapées complété par l’article 106 de la loi pour une République numérique rend obligatoire à tout service de communication publique en ligne d’être accessible à tous.</w:t>
      </w:r>
    </w:p>
    <w:p w:rsidR="000508D4" w:rsidRDefault="00626583">
      <w:r>
        <w:t>La loi fait obligation de publier un schéma pluriannuel d’une durée maximale de trois ans dans l’objectif d’informer le public des mo</w:t>
      </w:r>
      <w:r w:rsidR="00ED7E05">
        <w:t>yens et actions mi</w:t>
      </w:r>
      <w:r>
        <w:t>s en place pour rendre les sites web et les applications mobiles accessibles à tous et plus particulièrement conforme au Référentiel Général d’Accessibilité pour les Administrations (RGAA</w:t>
      </w:r>
      <w:r w:rsidR="00DB5E11">
        <w:t xml:space="preserve"> </w:t>
      </w:r>
      <w:r w:rsidR="00DF50FD">
        <w:t>4</w:t>
      </w:r>
      <w:r>
        <w:t>).</w:t>
      </w:r>
    </w:p>
    <w:p w:rsidR="000508D4" w:rsidRPr="00AB6C7E" w:rsidRDefault="000508D4">
      <w:pPr>
        <w:rPr>
          <w:b/>
        </w:rPr>
      </w:pPr>
      <w:r w:rsidRPr="00AB6C7E">
        <w:rPr>
          <w:b/>
        </w:rPr>
        <w:t>Introduction</w:t>
      </w:r>
    </w:p>
    <w:p w:rsidR="000508D4" w:rsidRDefault="00756A8D">
      <w:r>
        <w:t>Le plan d’action de mise en accessibilité numérique</w:t>
      </w:r>
      <w:r w:rsidR="000508D4">
        <w:t xml:space="preserve"> de l’INPI se compose d’un tableau récapitulatif</w:t>
      </w:r>
      <w:r>
        <w:t xml:space="preserve"> des actions programmées et mises en œuvre sur 3 ans</w:t>
      </w:r>
      <w:r w:rsidR="000508D4">
        <w:t xml:space="preserve"> ains</w:t>
      </w:r>
      <w:r w:rsidR="00101635">
        <w:t>i que l’état de suivi de ces actions.</w:t>
      </w:r>
    </w:p>
    <w:p w:rsidR="000508D4" w:rsidRDefault="00101635">
      <w:r>
        <w:t xml:space="preserve">Le plan </w:t>
      </w:r>
      <w:r w:rsidR="000508D4">
        <w:t xml:space="preserve">concerne les domaines </w:t>
      </w:r>
      <w:r>
        <w:t>des sites web de communication au public et des</w:t>
      </w:r>
      <w:r w:rsidR="000508D4">
        <w:t xml:space="preserve"> portail</w:t>
      </w:r>
      <w:r>
        <w:t>s métier</w:t>
      </w:r>
      <w:r w:rsidR="005E312F">
        <w:t>s</w:t>
      </w:r>
      <w:r>
        <w:t xml:space="preserve"> d’échanges avec les déposants</w:t>
      </w:r>
      <w:r w:rsidR="000508D4">
        <w:t> : entreprises, marques, brevets, dessins et modèles.</w:t>
      </w:r>
    </w:p>
    <w:p w:rsidR="000508D4" w:rsidRDefault="000508D4">
      <w:r>
        <w:t xml:space="preserve">Les audits de conformité </w:t>
      </w:r>
      <w:r w:rsidR="00157289">
        <w:t>à la norme RGAA sont réalisés par des</w:t>
      </w:r>
      <w:r>
        <w:t xml:space="preserve"> o</w:t>
      </w:r>
      <w:r w:rsidR="00157289">
        <w:t>rganismes externes.</w:t>
      </w:r>
    </w:p>
    <w:p w:rsidR="00BD2A14" w:rsidRDefault="007102FB">
      <w:pPr>
        <w:rPr>
          <w:b/>
        </w:rPr>
      </w:pPr>
      <w:r>
        <w:rPr>
          <w:b/>
        </w:rPr>
        <w:t>Tableau des actions 2025/2027</w:t>
      </w:r>
    </w:p>
    <w:p w:rsidR="003E29F2" w:rsidRPr="003E29F2" w:rsidRDefault="003E29F2">
      <w:r w:rsidRPr="003E29F2">
        <w:t>La définition des actions s’appuie notamment sur l’engagement de l’INPI à proposer des sites web et portails métier</w:t>
      </w:r>
      <w:r w:rsidR="00ED7E05">
        <w:t>s</w:t>
      </w:r>
      <w:r w:rsidRPr="003E29F2">
        <w:t xml:space="preserve"> accessibles à tous.</w:t>
      </w:r>
    </w:p>
    <w:tbl>
      <w:tblPr>
        <w:tblStyle w:val="Grilledutableau"/>
        <w:tblpPr w:leftFromText="141" w:rightFromText="141" w:vertAnchor="text" w:horzAnchor="margin" w:tblpY="48"/>
        <w:tblW w:w="0" w:type="auto"/>
        <w:tblLook w:val="04A0" w:firstRow="1" w:lastRow="0" w:firstColumn="1" w:lastColumn="0" w:noHBand="0" w:noVBand="1"/>
        <w:tblCaption w:val="Tableau des actions 2025/2027"/>
      </w:tblPr>
      <w:tblGrid>
        <w:gridCol w:w="3020"/>
        <w:gridCol w:w="3021"/>
        <w:gridCol w:w="3021"/>
      </w:tblGrid>
      <w:tr w:rsidR="00BD2A14" w:rsidTr="009D603D">
        <w:trPr>
          <w:tblHeader/>
        </w:trPr>
        <w:tc>
          <w:tcPr>
            <w:tcW w:w="3020" w:type="dxa"/>
            <w:shd w:val="clear" w:color="auto" w:fill="D9D9D9" w:themeFill="background1" w:themeFillShade="D9"/>
          </w:tcPr>
          <w:p w:rsidR="00BD2A14" w:rsidRDefault="00CF365A" w:rsidP="00501D45">
            <w:pPr>
              <w:jc w:val="center"/>
            </w:pPr>
            <w:r>
              <w:t>Action</w:t>
            </w:r>
          </w:p>
        </w:tc>
        <w:tc>
          <w:tcPr>
            <w:tcW w:w="3021" w:type="dxa"/>
            <w:shd w:val="clear" w:color="auto" w:fill="D9D9D9" w:themeFill="background1" w:themeFillShade="D9"/>
          </w:tcPr>
          <w:p w:rsidR="00BD2A14" w:rsidRDefault="00CF365A" w:rsidP="00501D45">
            <w:pPr>
              <w:jc w:val="center"/>
            </w:pPr>
            <w:r>
              <w:t>Description</w:t>
            </w:r>
            <w:bookmarkStart w:id="0" w:name="_GoBack"/>
            <w:bookmarkEnd w:id="0"/>
          </w:p>
        </w:tc>
        <w:tc>
          <w:tcPr>
            <w:tcW w:w="3021" w:type="dxa"/>
            <w:shd w:val="clear" w:color="auto" w:fill="D9D9D9" w:themeFill="background1" w:themeFillShade="D9"/>
          </w:tcPr>
          <w:p w:rsidR="00BD2A14" w:rsidRDefault="00CF365A" w:rsidP="00501D45">
            <w:pPr>
              <w:jc w:val="center"/>
            </w:pPr>
            <w:r>
              <w:t>Statut</w:t>
            </w:r>
          </w:p>
        </w:tc>
      </w:tr>
      <w:tr w:rsidR="006779F2" w:rsidRPr="00014C2D" w:rsidTr="00F3798B">
        <w:tc>
          <w:tcPr>
            <w:tcW w:w="3020" w:type="dxa"/>
          </w:tcPr>
          <w:p w:rsidR="006779F2" w:rsidRPr="00014C2D" w:rsidRDefault="006779F2" w:rsidP="00F3798B">
            <w:pPr>
              <w:rPr>
                <w:sz w:val="20"/>
                <w:szCs w:val="20"/>
              </w:rPr>
            </w:pPr>
            <w:r>
              <w:rPr>
                <w:sz w:val="20"/>
                <w:szCs w:val="20"/>
              </w:rPr>
              <w:t>Audit initial</w:t>
            </w:r>
          </w:p>
        </w:tc>
        <w:tc>
          <w:tcPr>
            <w:tcW w:w="3021" w:type="dxa"/>
          </w:tcPr>
          <w:p w:rsidR="006779F2" w:rsidRPr="00014C2D" w:rsidRDefault="006779F2" w:rsidP="00F3798B">
            <w:pPr>
              <w:rPr>
                <w:sz w:val="20"/>
                <w:szCs w:val="20"/>
              </w:rPr>
            </w:pPr>
            <w:r>
              <w:rPr>
                <w:sz w:val="20"/>
                <w:szCs w:val="20"/>
              </w:rPr>
              <w:t>Evaluation de chaque site web et applicatif métier pour sa mise en conformité à la norme RGAA</w:t>
            </w:r>
          </w:p>
        </w:tc>
        <w:tc>
          <w:tcPr>
            <w:tcW w:w="3021" w:type="dxa"/>
          </w:tcPr>
          <w:p w:rsidR="006779F2" w:rsidRDefault="006779F2" w:rsidP="00BD2A14">
            <w:pPr>
              <w:rPr>
                <w:sz w:val="20"/>
                <w:szCs w:val="20"/>
              </w:rPr>
            </w:pPr>
            <w:r w:rsidRPr="0075758C">
              <w:rPr>
                <w:sz w:val="20"/>
                <w:szCs w:val="20"/>
              </w:rPr>
              <w:t>Data.</w:t>
            </w:r>
            <w:r w:rsidR="00D71800" w:rsidRPr="0075758C">
              <w:rPr>
                <w:sz w:val="20"/>
                <w:szCs w:val="20"/>
              </w:rPr>
              <w:t>inpi.fr e</w:t>
            </w:r>
            <w:r w:rsidR="00C03F9A">
              <w:rPr>
                <w:sz w:val="20"/>
                <w:szCs w:val="20"/>
              </w:rPr>
              <w:t>n 2022</w:t>
            </w:r>
          </w:p>
          <w:p w:rsidR="00EC2037" w:rsidRPr="0075758C" w:rsidRDefault="00EC2037" w:rsidP="00EC2037">
            <w:pPr>
              <w:rPr>
                <w:sz w:val="20"/>
                <w:szCs w:val="20"/>
              </w:rPr>
            </w:pPr>
            <w:r w:rsidRPr="0075758C">
              <w:rPr>
                <w:sz w:val="20"/>
                <w:szCs w:val="20"/>
              </w:rPr>
              <w:t>Guichet unique en 2023</w:t>
            </w:r>
          </w:p>
          <w:p w:rsidR="006779F2" w:rsidRPr="0075758C" w:rsidRDefault="001D6DE0" w:rsidP="00BD2A14">
            <w:pPr>
              <w:rPr>
                <w:sz w:val="20"/>
                <w:szCs w:val="20"/>
              </w:rPr>
            </w:pPr>
            <w:r>
              <w:rPr>
                <w:sz w:val="20"/>
                <w:szCs w:val="20"/>
              </w:rPr>
              <w:t>Inpi.fr en 2024</w:t>
            </w:r>
          </w:p>
          <w:p w:rsidR="006779F2" w:rsidRDefault="002937CC" w:rsidP="00BD2A14">
            <w:pPr>
              <w:rPr>
                <w:sz w:val="20"/>
                <w:szCs w:val="20"/>
              </w:rPr>
            </w:pPr>
            <w:proofErr w:type="gramStart"/>
            <w:r>
              <w:rPr>
                <w:sz w:val="20"/>
                <w:szCs w:val="20"/>
              </w:rPr>
              <w:t>e</w:t>
            </w:r>
            <w:proofErr w:type="gramEnd"/>
            <w:r>
              <w:rPr>
                <w:sz w:val="20"/>
                <w:szCs w:val="20"/>
              </w:rPr>
              <w:t>-procé</w:t>
            </w:r>
            <w:r w:rsidR="006779F2" w:rsidRPr="0075758C">
              <w:rPr>
                <w:sz w:val="20"/>
                <w:szCs w:val="20"/>
              </w:rPr>
              <w:t>dure</w:t>
            </w:r>
            <w:r>
              <w:rPr>
                <w:sz w:val="20"/>
                <w:szCs w:val="20"/>
              </w:rPr>
              <w:t>s</w:t>
            </w:r>
            <w:r w:rsidR="006779F2" w:rsidRPr="0075758C">
              <w:rPr>
                <w:sz w:val="20"/>
                <w:szCs w:val="20"/>
              </w:rPr>
              <w:t xml:space="preserve"> en 2025</w:t>
            </w:r>
          </w:p>
          <w:p w:rsidR="00897EE7" w:rsidRPr="0075758C" w:rsidRDefault="00897EE7" w:rsidP="00897EE7">
            <w:pPr>
              <w:rPr>
                <w:sz w:val="20"/>
                <w:szCs w:val="20"/>
              </w:rPr>
            </w:pPr>
            <w:r>
              <w:rPr>
                <w:sz w:val="20"/>
                <w:szCs w:val="20"/>
              </w:rPr>
              <w:t>Portail d</w:t>
            </w:r>
            <w:r w:rsidRPr="0075758C">
              <w:rPr>
                <w:sz w:val="20"/>
                <w:szCs w:val="20"/>
              </w:rPr>
              <w:t>essins</w:t>
            </w:r>
            <w:r>
              <w:rPr>
                <w:sz w:val="20"/>
                <w:szCs w:val="20"/>
              </w:rPr>
              <w:t xml:space="preserve"> &amp; modèles en 2026</w:t>
            </w:r>
          </w:p>
          <w:p w:rsidR="00897EE7" w:rsidRPr="0075758C" w:rsidRDefault="00897EE7" w:rsidP="00BD2A14">
            <w:pPr>
              <w:rPr>
                <w:sz w:val="20"/>
                <w:szCs w:val="20"/>
              </w:rPr>
            </w:pPr>
            <w:r>
              <w:rPr>
                <w:sz w:val="20"/>
                <w:szCs w:val="20"/>
              </w:rPr>
              <w:t>Portail m</w:t>
            </w:r>
            <w:r w:rsidRPr="0075758C">
              <w:rPr>
                <w:sz w:val="20"/>
                <w:szCs w:val="20"/>
              </w:rPr>
              <w:t>arques</w:t>
            </w:r>
            <w:r>
              <w:rPr>
                <w:sz w:val="20"/>
                <w:szCs w:val="20"/>
              </w:rPr>
              <w:t xml:space="preserve"> en 2026</w:t>
            </w:r>
          </w:p>
          <w:p w:rsidR="006779F2" w:rsidRPr="0075758C" w:rsidRDefault="00EA0E1F" w:rsidP="00BD2A14">
            <w:pPr>
              <w:rPr>
                <w:sz w:val="20"/>
                <w:szCs w:val="20"/>
              </w:rPr>
            </w:pPr>
            <w:r>
              <w:rPr>
                <w:sz w:val="20"/>
                <w:szCs w:val="20"/>
              </w:rPr>
              <w:t>Portail b</w:t>
            </w:r>
            <w:r w:rsidR="006779F2" w:rsidRPr="0075758C">
              <w:rPr>
                <w:sz w:val="20"/>
                <w:szCs w:val="20"/>
              </w:rPr>
              <w:t>revets en 2027</w:t>
            </w:r>
            <w:r w:rsidR="00897EE7">
              <w:rPr>
                <w:sz w:val="20"/>
                <w:szCs w:val="20"/>
              </w:rPr>
              <w:t xml:space="preserve"> (refonte en cours)</w:t>
            </w:r>
          </w:p>
        </w:tc>
      </w:tr>
      <w:tr w:rsidR="00FB38D3" w:rsidRPr="00014C2D" w:rsidTr="00F3798B">
        <w:tc>
          <w:tcPr>
            <w:tcW w:w="3020" w:type="dxa"/>
          </w:tcPr>
          <w:p w:rsidR="00FB38D3" w:rsidRDefault="00FB38D3" w:rsidP="00F3798B">
            <w:pPr>
              <w:rPr>
                <w:sz w:val="20"/>
                <w:szCs w:val="20"/>
              </w:rPr>
            </w:pPr>
            <w:r>
              <w:rPr>
                <w:sz w:val="20"/>
                <w:szCs w:val="20"/>
              </w:rPr>
              <w:t>Audit de renouvellement</w:t>
            </w:r>
          </w:p>
        </w:tc>
        <w:tc>
          <w:tcPr>
            <w:tcW w:w="3021" w:type="dxa"/>
          </w:tcPr>
          <w:p w:rsidR="00FB38D3" w:rsidRDefault="00D71800" w:rsidP="00F3798B">
            <w:pPr>
              <w:rPr>
                <w:sz w:val="20"/>
                <w:szCs w:val="20"/>
              </w:rPr>
            </w:pPr>
            <w:r>
              <w:rPr>
                <w:sz w:val="20"/>
                <w:szCs w:val="20"/>
              </w:rPr>
              <w:t>Nouvelle évaluation de chaque site web et applicatif métier pour vérifier sa conformité à la norme RGAA, 3 ans après l’audit initial</w:t>
            </w:r>
          </w:p>
        </w:tc>
        <w:tc>
          <w:tcPr>
            <w:tcW w:w="3021" w:type="dxa"/>
          </w:tcPr>
          <w:p w:rsidR="00FB38D3" w:rsidRPr="0075758C" w:rsidRDefault="00D71800" w:rsidP="00BD2A14">
            <w:pPr>
              <w:rPr>
                <w:sz w:val="20"/>
                <w:szCs w:val="20"/>
              </w:rPr>
            </w:pPr>
            <w:r w:rsidRPr="0075758C">
              <w:rPr>
                <w:sz w:val="20"/>
                <w:szCs w:val="20"/>
              </w:rPr>
              <w:t>Data.inpi.fr en 2025</w:t>
            </w:r>
          </w:p>
          <w:p w:rsidR="002A1DE9" w:rsidRDefault="002A1DE9" w:rsidP="00BD2A14">
            <w:pPr>
              <w:rPr>
                <w:sz w:val="20"/>
                <w:szCs w:val="20"/>
              </w:rPr>
            </w:pPr>
            <w:r w:rsidRPr="0075758C">
              <w:rPr>
                <w:sz w:val="20"/>
                <w:szCs w:val="20"/>
              </w:rPr>
              <w:t xml:space="preserve">Guichet unique en </w:t>
            </w:r>
            <w:r w:rsidR="008A14FA">
              <w:rPr>
                <w:sz w:val="20"/>
                <w:szCs w:val="20"/>
              </w:rPr>
              <w:t>2026</w:t>
            </w:r>
          </w:p>
          <w:p w:rsidR="008A14FA" w:rsidRPr="0075758C" w:rsidRDefault="008A14FA" w:rsidP="00BD2A14">
            <w:pPr>
              <w:rPr>
                <w:sz w:val="20"/>
                <w:szCs w:val="20"/>
              </w:rPr>
            </w:pPr>
            <w:r>
              <w:rPr>
                <w:sz w:val="20"/>
                <w:szCs w:val="20"/>
              </w:rPr>
              <w:t>Inpi.fr en 2027</w:t>
            </w:r>
          </w:p>
        </w:tc>
      </w:tr>
      <w:tr w:rsidR="00BD5E9C" w:rsidRPr="00014C2D" w:rsidTr="00F3798B">
        <w:tc>
          <w:tcPr>
            <w:tcW w:w="3020" w:type="dxa"/>
          </w:tcPr>
          <w:p w:rsidR="00BD5E9C" w:rsidRDefault="00BD5E9C" w:rsidP="00F3798B">
            <w:pPr>
              <w:rPr>
                <w:sz w:val="20"/>
                <w:szCs w:val="20"/>
              </w:rPr>
            </w:pPr>
            <w:r>
              <w:rPr>
                <w:sz w:val="20"/>
                <w:szCs w:val="20"/>
              </w:rPr>
              <w:t>Déclaration d’accessibilité</w:t>
            </w:r>
          </w:p>
        </w:tc>
        <w:tc>
          <w:tcPr>
            <w:tcW w:w="3021" w:type="dxa"/>
          </w:tcPr>
          <w:p w:rsidR="00BD5E9C" w:rsidRDefault="00DF298D" w:rsidP="00F3798B">
            <w:pPr>
              <w:rPr>
                <w:sz w:val="20"/>
                <w:szCs w:val="20"/>
              </w:rPr>
            </w:pPr>
            <w:r>
              <w:rPr>
                <w:sz w:val="20"/>
                <w:szCs w:val="20"/>
              </w:rPr>
              <w:t>Publication des résultats des audits d’accessibilité</w:t>
            </w:r>
          </w:p>
        </w:tc>
        <w:tc>
          <w:tcPr>
            <w:tcW w:w="3021" w:type="dxa"/>
          </w:tcPr>
          <w:p w:rsidR="00557379" w:rsidRDefault="00557379" w:rsidP="00BD2A14">
            <w:pPr>
              <w:rPr>
                <w:sz w:val="20"/>
                <w:szCs w:val="20"/>
              </w:rPr>
            </w:pPr>
            <w:r w:rsidRPr="002937CC">
              <w:rPr>
                <w:sz w:val="20"/>
                <w:szCs w:val="20"/>
              </w:rPr>
              <w:t>Guichet unique fait le 14/03/23</w:t>
            </w:r>
          </w:p>
          <w:p w:rsidR="002A1DE9" w:rsidRPr="00045918" w:rsidRDefault="002A1DE9" w:rsidP="00BD2A14">
            <w:pPr>
              <w:rPr>
                <w:sz w:val="20"/>
                <w:szCs w:val="20"/>
              </w:rPr>
            </w:pPr>
            <w:r w:rsidRPr="00045918">
              <w:rPr>
                <w:sz w:val="20"/>
                <w:szCs w:val="20"/>
              </w:rPr>
              <w:t>Inpi.fr fait le</w:t>
            </w:r>
            <w:r w:rsidR="001D6DE0" w:rsidRPr="00045918">
              <w:rPr>
                <w:sz w:val="20"/>
                <w:szCs w:val="20"/>
              </w:rPr>
              <w:t xml:space="preserve"> 03/12/24</w:t>
            </w:r>
          </w:p>
          <w:p w:rsidR="00557379" w:rsidRPr="00045918" w:rsidRDefault="00557379" w:rsidP="00557379">
            <w:pPr>
              <w:rPr>
                <w:sz w:val="20"/>
                <w:szCs w:val="20"/>
              </w:rPr>
            </w:pPr>
            <w:r w:rsidRPr="00045918">
              <w:rPr>
                <w:sz w:val="20"/>
                <w:szCs w:val="20"/>
              </w:rPr>
              <w:t>Data.inpi.fr fait le 10/09/25</w:t>
            </w:r>
          </w:p>
          <w:p w:rsidR="002A1DE9" w:rsidRDefault="002A1DE9" w:rsidP="00BD2A14">
            <w:pPr>
              <w:rPr>
                <w:sz w:val="20"/>
                <w:szCs w:val="20"/>
              </w:rPr>
            </w:pPr>
            <w:r w:rsidRPr="002937CC">
              <w:rPr>
                <w:sz w:val="20"/>
                <w:szCs w:val="20"/>
              </w:rPr>
              <w:t>e-procédure</w:t>
            </w:r>
            <w:r w:rsidR="002937CC">
              <w:rPr>
                <w:sz w:val="20"/>
                <w:szCs w:val="20"/>
              </w:rPr>
              <w:t>s</w:t>
            </w:r>
            <w:r w:rsidRPr="002937CC">
              <w:rPr>
                <w:sz w:val="20"/>
                <w:szCs w:val="20"/>
              </w:rPr>
              <w:t xml:space="preserve"> fait le</w:t>
            </w:r>
            <w:r w:rsidR="00D52BF0">
              <w:rPr>
                <w:sz w:val="20"/>
                <w:szCs w:val="20"/>
              </w:rPr>
              <w:t xml:space="preserve"> 01/08</w:t>
            </w:r>
            <w:r w:rsidR="002937CC" w:rsidRPr="002937CC">
              <w:rPr>
                <w:sz w:val="20"/>
                <w:szCs w:val="20"/>
              </w:rPr>
              <w:t>/25</w:t>
            </w:r>
          </w:p>
        </w:tc>
      </w:tr>
      <w:tr w:rsidR="0023573F" w:rsidRPr="00014C2D" w:rsidTr="00F3798B">
        <w:tc>
          <w:tcPr>
            <w:tcW w:w="3020" w:type="dxa"/>
          </w:tcPr>
          <w:p w:rsidR="0023573F" w:rsidRDefault="00124818" w:rsidP="00F3798B">
            <w:pPr>
              <w:rPr>
                <w:sz w:val="20"/>
                <w:szCs w:val="20"/>
              </w:rPr>
            </w:pPr>
            <w:r>
              <w:rPr>
                <w:sz w:val="20"/>
                <w:szCs w:val="20"/>
              </w:rPr>
              <w:t>Amélioration de l’accessibilité</w:t>
            </w:r>
          </w:p>
        </w:tc>
        <w:tc>
          <w:tcPr>
            <w:tcW w:w="3021" w:type="dxa"/>
          </w:tcPr>
          <w:p w:rsidR="0023573F" w:rsidRDefault="0023573F" w:rsidP="00F3798B">
            <w:pPr>
              <w:rPr>
                <w:sz w:val="20"/>
                <w:szCs w:val="20"/>
              </w:rPr>
            </w:pPr>
            <w:r>
              <w:rPr>
                <w:sz w:val="20"/>
                <w:szCs w:val="20"/>
              </w:rPr>
              <w:t>Pour</w:t>
            </w:r>
            <w:r w:rsidR="00124818">
              <w:rPr>
                <w:sz w:val="20"/>
                <w:szCs w:val="20"/>
              </w:rPr>
              <w:t>suite de l’amélioration de l’accessibilité numérique en suivant la norme RGAA</w:t>
            </w:r>
          </w:p>
          <w:p w:rsidR="002C35D8" w:rsidRDefault="002C35D8" w:rsidP="00F3798B">
            <w:pPr>
              <w:rPr>
                <w:sz w:val="20"/>
                <w:szCs w:val="20"/>
              </w:rPr>
            </w:pPr>
            <w:r>
              <w:rPr>
                <w:sz w:val="20"/>
                <w:szCs w:val="20"/>
              </w:rPr>
              <w:t>Amélioration des solutions responsives</w:t>
            </w:r>
          </w:p>
        </w:tc>
        <w:tc>
          <w:tcPr>
            <w:tcW w:w="3021" w:type="dxa"/>
          </w:tcPr>
          <w:p w:rsidR="0023573F" w:rsidRDefault="00F84946" w:rsidP="00BD2A14">
            <w:pPr>
              <w:rPr>
                <w:sz w:val="20"/>
                <w:szCs w:val="20"/>
              </w:rPr>
            </w:pPr>
            <w:r>
              <w:rPr>
                <w:sz w:val="20"/>
                <w:szCs w:val="20"/>
              </w:rPr>
              <w:t>En cours</w:t>
            </w:r>
          </w:p>
        </w:tc>
      </w:tr>
      <w:tr w:rsidR="00BD2A14" w:rsidRPr="00014C2D" w:rsidTr="00AB6C7E">
        <w:tc>
          <w:tcPr>
            <w:tcW w:w="3020" w:type="dxa"/>
          </w:tcPr>
          <w:p w:rsidR="00BD2A14" w:rsidRPr="00014C2D" w:rsidRDefault="00CF365A" w:rsidP="00AB6C7E">
            <w:pPr>
              <w:rPr>
                <w:sz w:val="20"/>
                <w:szCs w:val="20"/>
              </w:rPr>
            </w:pPr>
            <w:r>
              <w:rPr>
                <w:sz w:val="20"/>
                <w:szCs w:val="20"/>
              </w:rPr>
              <w:t>Design système accessible</w:t>
            </w:r>
          </w:p>
        </w:tc>
        <w:tc>
          <w:tcPr>
            <w:tcW w:w="3021" w:type="dxa"/>
          </w:tcPr>
          <w:p w:rsidR="00BD2A14" w:rsidRPr="00014C2D" w:rsidRDefault="00CF365A" w:rsidP="006F1CFE">
            <w:pPr>
              <w:rPr>
                <w:sz w:val="20"/>
                <w:szCs w:val="20"/>
              </w:rPr>
            </w:pPr>
            <w:r>
              <w:rPr>
                <w:sz w:val="20"/>
                <w:szCs w:val="20"/>
              </w:rPr>
              <w:t xml:space="preserve">Contribuer à l’accessibilité </w:t>
            </w:r>
          </w:p>
        </w:tc>
        <w:tc>
          <w:tcPr>
            <w:tcW w:w="3021" w:type="dxa"/>
          </w:tcPr>
          <w:p w:rsidR="00BD2A14" w:rsidRDefault="00317C6C" w:rsidP="00BD2A14">
            <w:pPr>
              <w:rPr>
                <w:sz w:val="20"/>
                <w:szCs w:val="20"/>
              </w:rPr>
            </w:pPr>
            <w:r>
              <w:rPr>
                <w:sz w:val="20"/>
                <w:szCs w:val="20"/>
              </w:rPr>
              <w:t>1</w:t>
            </w:r>
            <w:r w:rsidRPr="00317C6C">
              <w:rPr>
                <w:sz w:val="20"/>
                <w:szCs w:val="20"/>
                <w:vertAlign w:val="superscript"/>
              </w:rPr>
              <w:t>ère</w:t>
            </w:r>
            <w:r>
              <w:rPr>
                <w:sz w:val="20"/>
                <w:szCs w:val="20"/>
              </w:rPr>
              <w:t xml:space="preserve"> livraison du d</w:t>
            </w:r>
            <w:r w:rsidR="00CF365A">
              <w:rPr>
                <w:sz w:val="20"/>
                <w:szCs w:val="20"/>
              </w:rPr>
              <w:t>esign système</w:t>
            </w:r>
            <w:r>
              <w:rPr>
                <w:sz w:val="20"/>
                <w:szCs w:val="20"/>
              </w:rPr>
              <w:t xml:space="preserve"> </w:t>
            </w:r>
            <w:r w:rsidR="00CF365A">
              <w:rPr>
                <w:sz w:val="20"/>
                <w:szCs w:val="20"/>
              </w:rPr>
              <w:t>en 2025</w:t>
            </w:r>
          </w:p>
          <w:p w:rsidR="00CF365A" w:rsidRPr="00014C2D" w:rsidRDefault="00317C6C" w:rsidP="00BD2A14">
            <w:pPr>
              <w:rPr>
                <w:sz w:val="20"/>
                <w:szCs w:val="20"/>
              </w:rPr>
            </w:pPr>
            <w:r>
              <w:rPr>
                <w:sz w:val="20"/>
                <w:szCs w:val="20"/>
              </w:rPr>
              <w:t>Contrat de maintenance pour livraisons successives de nouveaux composants</w:t>
            </w:r>
          </w:p>
        </w:tc>
      </w:tr>
      <w:tr w:rsidR="00AB6C7E" w:rsidRPr="00014C2D" w:rsidTr="00AB6C7E">
        <w:tc>
          <w:tcPr>
            <w:tcW w:w="3020" w:type="dxa"/>
          </w:tcPr>
          <w:p w:rsidR="00AB6C7E" w:rsidRPr="00014C2D" w:rsidRDefault="001B754C" w:rsidP="00AB6C7E">
            <w:pPr>
              <w:rPr>
                <w:sz w:val="20"/>
                <w:szCs w:val="20"/>
              </w:rPr>
            </w:pPr>
            <w:r>
              <w:rPr>
                <w:sz w:val="20"/>
                <w:szCs w:val="20"/>
              </w:rPr>
              <w:lastRenderedPageBreak/>
              <w:t>Développement des sites web et applicatifs</w:t>
            </w:r>
          </w:p>
        </w:tc>
        <w:tc>
          <w:tcPr>
            <w:tcW w:w="3021" w:type="dxa"/>
          </w:tcPr>
          <w:p w:rsidR="00BD2A14" w:rsidRPr="00014C2D" w:rsidRDefault="009B3364" w:rsidP="00BD2A14">
            <w:pPr>
              <w:rPr>
                <w:sz w:val="20"/>
                <w:szCs w:val="20"/>
              </w:rPr>
            </w:pPr>
            <w:r>
              <w:rPr>
                <w:sz w:val="20"/>
                <w:szCs w:val="20"/>
              </w:rPr>
              <w:t>Achats</w:t>
            </w:r>
          </w:p>
          <w:p w:rsidR="00AB6C7E" w:rsidRPr="00014C2D" w:rsidRDefault="00AB6C7E" w:rsidP="00AB6C7E">
            <w:pPr>
              <w:rPr>
                <w:sz w:val="20"/>
                <w:szCs w:val="20"/>
              </w:rPr>
            </w:pPr>
          </w:p>
        </w:tc>
        <w:tc>
          <w:tcPr>
            <w:tcW w:w="3021" w:type="dxa"/>
          </w:tcPr>
          <w:p w:rsidR="00BD2A14" w:rsidRPr="00014C2D" w:rsidRDefault="009B3364" w:rsidP="00BD2A14">
            <w:pPr>
              <w:rPr>
                <w:sz w:val="20"/>
                <w:szCs w:val="20"/>
              </w:rPr>
            </w:pPr>
            <w:r>
              <w:rPr>
                <w:sz w:val="20"/>
                <w:szCs w:val="20"/>
              </w:rPr>
              <w:t>Evaluation des</w:t>
            </w:r>
            <w:r w:rsidR="001B754C">
              <w:rPr>
                <w:sz w:val="20"/>
                <w:szCs w:val="20"/>
              </w:rPr>
              <w:t xml:space="preserve"> offres sur les critères RGAA</w:t>
            </w:r>
          </w:p>
          <w:p w:rsidR="00AB6C7E" w:rsidRPr="00014C2D" w:rsidRDefault="00AB6C7E" w:rsidP="00AB6C7E">
            <w:pPr>
              <w:rPr>
                <w:sz w:val="20"/>
                <w:szCs w:val="20"/>
              </w:rPr>
            </w:pPr>
          </w:p>
        </w:tc>
      </w:tr>
      <w:tr w:rsidR="00AB6C7E" w:rsidRPr="00014C2D" w:rsidTr="00AB6C7E">
        <w:tc>
          <w:tcPr>
            <w:tcW w:w="3020" w:type="dxa"/>
          </w:tcPr>
          <w:p w:rsidR="00AB6C7E" w:rsidRPr="00014C2D" w:rsidRDefault="00BA2195" w:rsidP="00AB6C7E">
            <w:pPr>
              <w:rPr>
                <w:sz w:val="20"/>
                <w:szCs w:val="20"/>
              </w:rPr>
            </w:pPr>
            <w:r>
              <w:rPr>
                <w:sz w:val="20"/>
                <w:szCs w:val="20"/>
              </w:rPr>
              <w:t>Sensibilisation des collaborateurs</w:t>
            </w:r>
          </w:p>
        </w:tc>
        <w:tc>
          <w:tcPr>
            <w:tcW w:w="3021" w:type="dxa"/>
          </w:tcPr>
          <w:p w:rsidR="00BD2A14" w:rsidRPr="00014C2D" w:rsidRDefault="00BA2195" w:rsidP="00BD2A14">
            <w:pPr>
              <w:rPr>
                <w:sz w:val="20"/>
                <w:szCs w:val="20"/>
              </w:rPr>
            </w:pPr>
            <w:r>
              <w:rPr>
                <w:sz w:val="20"/>
                <w:szCs w:val="20"/>
              </w:rPr>
              <w:t>Sensibilisation des collaborateurs à l’accessibilité numérique</w:t>
            </w:r>
          </w:p>
          <w:p w:rsidR="00AB6C7E" w:rsidRPr="00014C2D" w:rsidRDefault="00AB6C7E" w:rsidP="00AB6C7E">
            <w:pPr>
              <w:rPr>
                <w:sz w:val="20"/>
                <w:szCs w:val="20"/>
              </w:rPr>
            </w:pPr>
          </w:p>
        </w:tc>
        <w:tc>
          <w:tcPr>
            <w:tcW w:w="3021" w:type="dxa"/>
          </w:tcPr>
          <w:p w:rsidR="00AB6C7E" w:rsidRDefault="00BA2195" w:rsidP="00BA2195">
            <w:pPr>
              <w:rPr>
                <w:sz w:val="20"/>
                <w:szCs w:val="20"/>
              </w:rPr>
            </w:pPr>
            <w:r>
              <w:rPr>
                <w:sz w:val="20"/>
                <w:szCs w:val="20"/>
              </w:rPr>
              <w:t>Session pilote à la Direction des opérations en 2026</w:t>
            </w:r>
          </w:p>
          <w:p w:rsidR="00BA2195" w:rsidRPr="00014C2D" w:rsidRDefault="00BA2195" w:rsidP="00BA2195">
            <w:pPr>
              <w:rPr>
                <w:b/>
                <w:sz w:val="20"/>
                <w:szCs w:val="20"/>
              </w:rPr>
            </w:pPr>
            <w:r>
              <w:rPr>
                <w:sz w:val="20"/>
                <w:szCs w:val="20"/>
              </w:rPr>
              <w:t>Sessions auprès de l’ensemble des collaborateurs en 2027</w:t>
            </w:r>
          </w:p>
        </w:tc>
      </w:tr>
    </w:tbl>
    <w:p w:rsidR="00AB6C7E" w:rsidRPr="00014C2D" w:rsidRDefault="00AB6C7E">
      <w:pPr>
        <w:rPr>
          <w:sz w:val="20"/>
          <w:szCs w:val="20"/>
        </w:rPr>
      </w:pPr>
    </w:p>
    <w:p w:rsidR="00AB6C7E" w:rsidRPr="00AB6C7E" w:rsidRDefault="00AB6C7E">
      <w:pPr>
        <w:rPr>
          <w:b/>
        </w:rPr>
      </w:pPr>
      <w:r w:rsidRPr="00AB6C7E">
        <w:rPr>
          <w:b/>
        </w:rPr>
        <w:t>Amélioration de la qualité des services audités</w:t>
      </w:r>
    </w:p>
    <w:p w:rsidR="00AB6C7E" w:rsidRDefault="00AB6C7E">
      <w:r>
        <w:t>Les sites et services en ligne feront l’objet de correctifs et, après contrôle, feront l’objet d’une réévaluation du score RGAA le cas échéant.</w:t>
      </w:r>
    </w:p>
    <w:sectPr w:rsidR="00AB6C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8D4"/>
    <w:rsid w:val="00014C2D"/>
    <w:rsid w:val="00045918"/>
    <w:rsid w:val="000508D4"/>
    <w:rsid w:val="000F2DE8"/>
    <w:rsid w:val="00101635"/>
    <w:rsid w:val="00124818"/>
    <w:rsid w:val="0015556E"/>
    <w:rsid w:val="00157289"/>
    <w:rsid w:val="001B754C"/>
    <w:rsid w:val="001C2678"/>
    <w:rsid w:val="001D2753"/>
    <w:rsid w:val="001D6DE0"/>
    <w:rsid w:val="00221C1D"/>
    <w:rsid w:val="0023573F"/>
    <w:rsid w:val="002937CC"/>
    <w:rsid w:val="002A1DE9"/>
    <w:rsid w:val="002C35D8"/>
    <w:rsid w:val="00317C6C"/>
    <w:rsid w:val="003A453B"/>
    <w:rsid w:val="003E29F2"/>
    <w:rsid w:val="00424972"/>
    <w:rsid w:val="004761C0"/>
    <w:rsid w:val="00522A9A"/>
    <w:rsid w:val="00557379"/>
    <w:rsid w:val="005E312F"/>
    <w:rsid w:val="005F4F95"/>
    <w:rsid w:val="00626583"/>
    <w:rsid w:val="006779F2"/>
    <w:rsid w:val="006F1CFE"/>
    <w:rsid w:val="007102FB"/>
    <w:rsid w:val="00711AC4"/>
    <w:rsid w:val="00756A8D"/>
    <w:rsid w:val="0075758C"/>
    <w:rsid w:val="00782D63"/>
    <w:rsid w:val="00897EE7"/>
    <w:rsid w:val="008A14FA"/>
    <w:rsid w:val="009B3364"/>
    <w:rsid w:val="009D603D"/>
    <w:rsid w:val="009E70E7"/>
    <w:rsid w:val="00AB3444"/>
    <w:rsid w:val="00AB6C7E"/>
    <w:rsid w:val="00AE42B0"/>
    <w:rsid w:val="00BA2195"/>
    <w:rsid w:val="00BA747A"/>
    <w:rsid w:val="00BD2A14"/>
    <w:rsid w:val="00BD5E9C"/>
    <w:rsid w:val="00C03F9A"/>
    <w:rsid w:val="00CC1875"/>
    <w:rsid w:val="00CF365A"/>
    <w:rsid w:val="00D52BF0"/>
    <w:rsid w:val="00D71800"/>
    <w:rsid w:val="00DB5E11"/>
    <w:rsid w:val="00DF298D"/>
    <w:rsid w:val="00DF50FD"/>
    <w:rsid w:val="00EA0E1F"/>
    <w:rsid w:val="00EA1518"/>
    <w:rsid w:val="00EB7504"/>
    <w:rsid w:val="00EC2037"/>
    <w:rsid w:val="00ED7E05"/>
    <w:rsid w:val="00F84946"/>
    <w:rsid w:val="00FA612A"/>
    <w:rsid w:val="00FB38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3D181-6F86-42F7-8E22-F4A6291A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56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508D4"/>
    <w:rPr>
      <w:color w:val="0563C1" w:themeColor="hyperlink"/>
      <w:u w:val="single"/>
    </w:rPr>
  </w:style>
  <w:style w:type="table" w:styleId="Grilledutableau">
    <w:name w:val="Table Grid"/>
    <w:basedOn w:val="TableauNormal"/>
    <w:uiPriority w:val="39"/>
    <w:rsid w:val="00AB6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F4F9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4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080605">
      <w:bodyDiv w:val="1"/>
      <w:marLeft w:val="0"/>
      <w:marRight w:val="0"/>
      <w:marTop w:val="0"/>
      <w:marBottom w:val="0"/>
      <w:divBdr>
        <w:top w:val="none" w:sz="0" w:space="0" w:color="auto"/>
        <w:left w:val="none" w:sz="0" w:space="0" w:color="auto"/>
        <w:bottom w:val="none" w:sz="0" w:space="0" w:color="auto"/>
        <w:right w:val="none" w:sz="0" w:space="0" w:color="auto"/>
      </w:divBdr>
    </w:div>
    <w:div w:id="1018585956">
      <w:bodyDiv w:val="1"/>
      <w:marLeft w:val="0"/>
      <w:marRight w:val="0"/>
      <w:marTop w:val="0"/>
      <w:marBottom w:val="0"/>
      <w:divBdr>
        <w:top w:val="none" w:sz="0" w:space="0" w:color="auto"/>
        <w:left w:val="none" w:sz="0" w:space="0" w:color="auto"/>
        <w:bottom w:val="none" w:sz="0" w:space="0" w:color="auto"/>
        <w:right w:val="none" w:sz="0" w:space="0" w:color="auto"/>
      </w:divBdr>
    </w:div>
    <w:div w:id="1101030842">
      <w:bodyDiv w:val="1"/>
      <w:marLeft w:val="0"/>
      <w:marRight w:val="0"/>
      <w:marTop w:val="0"/>
      <w:marBottom w:val="0"/>
      <w:divBdr>
        <w:top w:val="none" w:sz="0" w:space="0" w:color="auto"/>
        <w:left w:val="none" w:sz="0" w:space="0" w:color="auto"/>
        <w:bottom w:val="none" w:sz="0" w:space="0" w:color="auto"/>
        <w:right w:val="none" w:sz="0" w:space="0" w:color="auto"/>
      </w:divBdr>
    </w:div>
    <w:div w:id="1575167754">
      <w:bodyDiv w:val="1"/>
      <w:marLeft w:val="0"/>
      <w:marRight w:val="0"/>
      <w:marTop w:val="0"/>
      <w:marBottom w:val="0"/>
      <w:divBdr>
        <w:top w:val="none" w:sz="0" w:space="0" w:color="auto"/>
        <w:left w:val="none" w:sz="0" w:space="0" w:color="auto"/>
        <w:bottom w:val="none" w:sz="0" w:space="0" w:color="auto"/>
        <w:right w:val="none" w:sz="0" w:space="0" w:color="auto"/>
      </w:divBdr>
    </w:div>
    <w:div w:id="1628125787">
      <w:bodyDiv w:val="1"/>
      <w:marLeft w:val="0"/>
      <w:marRight w:val="0"/>
      <w:marTop w:val="0"/>
      <w:marBottom w:val="0"/>
      <w:divBdr>
        <w:top w:val="none" w:sz="0" w:space="0" w:color="auto"/>
        <w:left w:val="none" w:sz="0" w:space="0" w:color="auto"/>
        <w:bottom w:val="none" w:sz="0" w:space="0" w:color="auto"/>
        <w:right w:val="none" w:sz="0" w:space="0" w:color="auto"/>
      </w:divBdr>
    </w:div>
    <w:div w:id="1670012623">
      <w:bodyDiv w:val="1"/>
      <w:marLeft w:val="0"/>
      <w:marRight w:val="0"/>
      <w:marTop w:val="0"/>
      <w:marBottom w:val="0"/>
      <w:divBdr>
        <w:top w:val="none" w:sz="0" w:space="0" w:color="auto"/>
        <w:left w:val="none" w:sz="0" w:space="0" w:color="auto"/>
        <w:bottom w:val="none" w:sz="0" w:space="0" w:color="auto"/>
        <w:right w:val="none" w:sz="0" w:space="0" w:color="auto"/>
      </w:divBdr>
    </w:div>
    <w:div w:id="202076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450</Words>
  <Characters>2476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INPI</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Brun Séverine</dc:creator>
  <cp:keywords/>
  <dc:description/>
  <cp:lastModifiedBy>Garotin Janczura Thomas</cp:lastModifiedBy>
  <cp:revision>53</cp:revision>
  <cp:lastPrinted>2025-10-09T08:23:00Z</cp:lastPrinted>
  <dcterms:created xsi:type="dcterms:W3CDTF">2025-10-01T07:47:00Z</dcterms:created>
  <dcterms:modified xsi:type="dcterms:W3CDTF">2025-10-09T10:02:00Z</dcterms:modified>
</cp:coreProperties>
</file>